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18" w:rsidRPr="00517EE4" w:rsidRDefault="00E80818" w:rsidP="00E80818">
      <w:pPr>
        <w:pStyle w:val="a5"/>
        <w:shd w:val="clear" w:color="auto" w:fill="FFFFFF"/>
        <w:rPr>
          <w:rStyle w:val="a6"/>
          <w:rFonts w:ascii="华文新魏" w:eastAsia="华文新魏" w:hAnsiTheme="minorEastAsia"/>
          <w:b w:val="0"/>
          <w:bCs w:val="0"/>
          <w:color w:val="FF0000"/>
        </w:rPr>
      </w:pPr>
      <w:r w:rsidRPr="00517EE4">
        <w:rPr>
          <w:rStyle w:val="a6"/>
          <w:rFonts w:ascii="华文新魏" w:eastAsia="华文新魏" w:hAnsiTheme="minorEastAsia" w:hint="eastAsia"/>
          <w:b w:val="0"/>
          <w:bCs w:val="0"/>
          <w:color w:val="FF0000"/>
        </w:rPr>
        <w:t>危化品管理系列</w:t>
      </w:r>
      <w:r>
        <w:rPr>
          <w:rStyle w:val="a6"/>
          <w:rFonts w:ascii="华文新魏" w:eastAsia="华文新魏" w:hAnsiTheme="minorEastAsia" w:hint="eastAsia"/>
          <w:b w:val="0"/>
          <w:bCs w:val="0"/>
          <w:color w:val="FF0000"/>
        </w:rPr>
        <w:t>：</w:t>
      </w:r>
    </w:p>
    <w:p w:rsidR="001E0987" w:rsidRPr="00A1392C" w:rsidRDefault="00A1392C" w:rsidP="009D348A">
      <w:pPr>
        <w:pStyle w:val="a5"/>
        <w:shd w:val="clear" w:color="auto" w:fill="FFFFFF"/>
        <w:jc w:val="center"/>
        <w:rPr>
          <w:rStyle w:val="a6"/>
        </w:rPr>
      </w:pPr>
      <w:r w:rsidRPr="00A1392C">
        <w:rPr>
          <w:rStyle w:val="a6"/>
          <w:rFonts w:asciiTheme="minorEastAsia" w:eastAsiaTheme="minorEastAsia" w:hAnsiTheme="minorEastAsia"/>
          <w:bCs w:val="0"/>
        </w:rPr>
        <w:t>危险化学品重大危险源辨识研究进展</w:t>
      </w:r>
    </w:p>
    <w:p w:rsidR="00B27EDF" w:rsidRPr="00AE2173" w:rsidRDefault="009D348A" w:rsidP="009D348A">
      <w:pPr>
        <w:pStyle w:val="a5"/>
        <w:shd w:val="clear" w:color="auto" w:fill="FFFFFF"/>
        <w:spacing w:before="0" w:beforeAutospacing="0" w:after="0" w:afterAutospacing="0"/>
        <w:ind w:firstLineChars="200" w:firstLine="360"/>
        <w:rPr>
          <w:rFonts w:ascii="仿宋" w:eastAsia="仿宋" w:hAnsi="仿宋"/>
          <w:sz w:val="18"/>
          <w:szCs w:val="18"/>
        </w:rPr>
      </w:pPr>
      <w:r w:rsidRPr="00AE2173">
        <w:rPr>
          <w:rFonts w:ascii="仿宋" w:eastAsia="仿宋" w:hAnsi="仿宋"/>
          <w:sz w:val="18"/>
          <w:szCs w:val="18"/>
        </w:rPr>
        <w:t>欧盟《塞维索法令》对重大危险源辨识发展具有重要意义，它根据恶性事故的发生及生产应用的需要不断完善和更新，目前已更新至第三版。我国重大危险源辨识标准起步较晚，与《塞维索法令》密切相关，随着化工行业的快速发展，重大危险源辨识标准也更新至第三版。重大危险源辨识理论仍然需要不断地完善，以适应快速发展的工业化形势，目前存在临界量不全、重大危险源分级理论中的特殊情况未做规定、非重大危险源分级管理空白等现实问题需要解决。</w:t>
      </w:r>
    </w:p>
    <w:p w:rsidR="00B27EDF" w:rsidRPr="00B27EDF" w:rsidRDefault="00B27EDF" w:rsidP="00B27EDF">
      <w:pPr>
        <w:pStyle w:val="a5"/>
        <w:shd w:val="clear" w:color="auto" w:fill="FFFFFF"/>
        <w:rPr>
          <w:b/>
          <w:sz w:val="21"/>
          <w:szCs w:val="21"/>
        </w:rPr>
      </w:pPr>
      <w:r w:rsidRPr="00B27EDF">
        <w:rPr>
          <w:rFonts w:hint="eastAsia"/>
          <w:b/>
          <w:sz w:val="21"/>
          <w:szCs w:val="21"/>
        </w:rPr>
        <w:t>1.</w:t>
      </w:r>
      <w:r w:rsidR="00A1392C">
        <w:rPr>
          <w:rFonts w:hint="eastAsia"/>
          <w:b/>
          <w:sz w:val="21"/>
          <w:szCs w:val="21"/>
        </w:rPr>
        <w:t xml:space="preserve"> </w:t>
      </w:r>
      <w:r w:rsidR="00820745">
        <w:rPr>
          <w:rFonts w:hint="eastAsia"/>
          <w:b/>
          <w:sz w:val="21"/>
          <w:szCs w:val="21"/>
        </w:rPr>
        <w:t>重大危险源辨识的起源与进展</w:t>
      </w:r>
    </w:p>
    <w:p w:rsidR="00B27EDF" w:rsidRPr="00B27EDF" w:rsidRDefault="00820745" w:rsidP="00B27EDF">
      <w:pPr>
        <w:pStyle w:val="a5"/>
        <w:shd w:val="clear" w:color="auto" w:fill="FFFFFF"/>
        <w:ind w:firstLineChars="250" w:firstLine="450"/>
        <w:rPr>
          <w:sz w:val="18"/>
          <w:szCs w:val="18"/>
        </w:rPr>
      </w:pPr>
      <w:r w:rsidRPr="00820745">
        <w:rPr>
          <w:sz w:val="18"/>
          <w:szCs w:val="18"/>
        </w:rPr>
        <w:t>重大危险源辨识标准是在重大工业事故频发的背景下建立的，工业活动中发生的重大火灾、爆炸、毒性物质泄漏等事故，通常会给人们带来严重的损害，造成人员伤亡和经济损失，并对环境造成严重的污染。这些严重的后果，引起了人们对重大危险源的高度重视与管控。</w:t>
      </w:r>
    </w:p>
    <w:p w:rsidR="00097303" w:rsidRPr="00097303" w:rsidRDefault="009D348A" w:rsidP="00D6138E">
      <w:pPr>
        <w:pStyle w:val="a5"/>
        <w:shd w:val="clear" w:color="auto" w:fill="FFFFFF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2.</w:t>
      </w:r>
      <w:r w:rsidR="00A1392C">
        <w:rPr>
          <w:rFonts w:hint="eastAsia"/>
          <w:b/>
          <w:sz w:val="21"/>
          <w:szCs w:val="21"/>
        </w:rPr>
        <w:t xml:space="preserve"> </w:t>
      </w:r>
      <w:r w:rsidRPr="009D348A">
        <w:rPr>
          <w:b/>
          <w:sz w:val="21"/>
          <w:szCs w:val="21"/>
        </w:rPr>
        <w:t>我国《危险化学品重大危险源辨识》标准与欧盟《塞维索法令》的关联性</w:t>
      </w:r>
    </w:p>
    <w:p w:rsidR="00B27EDF" w:rsidRPr="00FA361F" w:rsidRDefault="00B27EDF" w:rsidP="009D348A">
      <w:pPr>
        <w:ind w:firstLineChars="200" w:firstLine="360"/>
        <w:rPr>
          <w:rFonts w:ascii="Times New Roman" w:hAnsi="Times New Roman" w:cs="Times New Roman"/>
          <w:sz w:val="18"/>
          <w:szCs w:val="18"/>
        </w:rPr>
      </w:pPr>
      <w:r w:rsidRPr="00FA361F">
        <w:rPr>
          <w:rFonts w:ascii="Times New Roman" w:eastAsia="宋体" w:hAnsi="Times New Roman" w:cs="Times New Roman"/>
          <w:kern w:val="0"/>
          <w:sz w:val="18"/>
          <w:szCs w:val="18"/>
        </w:rPr>
        <w:t>2015</w:t>
      </w:r>
      <w:r w:rsidRPr="00FA361F">
        <w:rPr>
          <w:rFonts w:ascii="Times New Roman" w:eastAsia="宋体" w:hAnsi="宋体" w:cs="Times New Roman"/>
          <w:kern w:val="0"/>
          <w:sz w:val="18"/>
          <w:szCs w:val="18"/>
        </w:rPr>
        <w:t>年</w:t>
      </w:r>
      <w:r w:rsidR="009D348A" w:rsidRPr="00FA361F">
        <w:rPr>
          <w:rFonts w:ascii="Times New Roman" w:eastAsia="宋体" w:hAnsi="宋体" w:cs="Times New Roman"/>
          <w:kern w:val="0"/>
          <w:sz w:val="18"/>
          <w:szCs w:val="18"/>
        </w:rPr>
        <w:t>我国重大危险源辨识标准颁布和修订与塞维索法令息息相关。欧共体最早在</w:t>
      </w:r>
      <w:r w:rsidR="009D348A" w:rsidRPr="00FA361F">
        <w:rPr>
          <w:rFonts w:ascii="Times New Roman" w:eastAsia="宋体" w:hAnsi="Times New Roman" w:cs="Times New Roman"/>
          <w:kern w:val="0"/>
          <w:sz w:val="18"/>
          <w:szCs w:val="18"/>
        </w:rPr>
        <w:t>1982</w:t>
      </w:r>
      <w:r w:rsidR="009D348A" w:rsidRPr="00FA361F">
        <w:rPr>
          <w:rFonts w:ascii="Times New Roman" w:eastAsia="宋体" w:hAnsi="宋体" w:cs="Times New Roman"/>
          <w:kern w:val="0"/>
          <w:sz w:val="18"/>
          <w:szCs w:val="18"/>
        </w:rPr>
        <w:t>年颁布第一部《塞维索法令</w:t>
      </w:r>
      <w:r w:rsidR="009D348A" w:rsidRPr="00FA361F">
        <w:rPr>
          <w:rFonts w:ascii="Times New Roman" w:eastAsia="宋体" w:hAnsi="Times New Roman" w:cs="Times New Roman"/>
          <w:kern w:val="0"/>
          <w:sz w:val="18"/>
          <w:szCs w:val="18"/>
        </w:rPr>
        <w:t>I</w:t>
      </w:r>
      <w:r w:rsidR="009D348A" w:rsidRPr="00FA361F">
        <w:rPr>
          <w:rFonts w:ascii="Times New Roman" w:eastAsia="宋体" w:hAnsi="宋体" w:cs="Times New Roman"/>
          <w:kern w:val="0"/>
          <w:sz w:val="18"/>
          <w:szCs w:val="18"/>
        </w:rPr>
        <w:t>》（</w:t>
      </w:r>
      <w:r w:rsidR="009D348A" w:rsidRPr="00FA361F">
        <w:rPr>
          <w:rFonts w:ascii="Times New Roman" w:eastAsia="宋体" w:hAnsi="Times New Roman" w:cs="Times New Roman"/>
          <w:kern w:val="0"/>
          <w:sz w:val="18"/>
          <w:szCs w:val="18"/>
        </w:rPr>
        <w:t>82/501/EEC</w:t>
      </w:r>
      <w:r w:rsidR="009D348A" w:rsidRPr="00FA361F">
        <w:rPr>
          <w:rFonts w:ascii="Times New Roman" w:eastAsia="宋体" w:hAnsi="宋体" w:cs="Times New Roman"/>
          <w:kern w:val="0"/>
          <w:sz w:val="18"/>
          <w:szCs w:val="18"/>
        </w:rPr>
        <w:t>），该法令旨在预防某些工业活动可能造成的严重事故后果，限制事故对人类和环境造成影响。我国最早在</w:t>
      </w:r>
      <w:r w:rsidR="009D348A" w:rsidRPr="00FA361F">
        <w:rPr>
          <w:rFonts w:ascii="Times New Roman" w:eastAsia="宋体" w:hAnsi="Times New Roman" w:cs="Times New Roman"/>
          <w:kern w:val="0"/>
          <w:sz w:val="18"/>
          <w:szCs w:val="18"/>
        </w:rPr>
        <w:t>2000</w:t>
      </w:r>
      <w:r w:rsidR="009D348A" w:rsidRPr="00FA361F">
        <w:rPr>
          <w:rFonts w:ascii="Times New Roman" w:eastAsia="宋体" w:hAnsi="宋体" w:cs="Times New Roman"/>
          <w:kern w:val="0"/>
          <w:sz w:val="18"/>
          <w:szCs w:val="18"/>
        </w:rPr>
        <w:t>年颁布第一部《重大危险源辨识》（</w:t>
      </w:r>
      <w:r w:rsidR="009D348A" w:rsidRPr="00FA361F">
        <w:rPr>
          <w:rFonts w:ascii="Times New Roman" w:eastAsia="宋体" w:hAnsi="Times New Roman" w:cs="Times New Roman"/>
          <w:kern w:val="0"/>
          <w:sz w:val="18"/>
          <w:szCs w:val="18"/>
        </w:rPr>
        <w:t>GB18218-2000</w:t>
      </w:r>
      <w:r w:rsidR="009D348A" w:rsidRPr="00FA361F">
        <w:rPr>
          <w:rFonts w:ascii="Times New Roman" w:eastAsia="宋体" w:hAnsi="宋体" w:cs="Times New Roman"/>
          <w:kern w:val="0"/>
          <w:sz w:val="18"/>
          <w:szCs w:val="18"/>
        </w:rPr>
        <w:t>）标准</w:t>
      </w:r>
      <w:r w:rsidR="009D348A" w:rsidRPr="00FA361F">
        <w:rPr>
          <w:rFonts w:ascii="Times New Roman" w:hAnsi="Times New Roman" w:cs="Times New Roman"/>
          <w:sz w:val="18"/>
          <w:szCs w:val="18"/>
        </w:rPr>
        <w:t>。</w:t>
      </w:r>
    </w:p>
    <w:p w:rsidR="00097303" w:rsidRPr="0000084B" w:rsidRDefault="00097303" w:rsidP="00097303">
      <w:pPr>
        <w:tabs>
          <w:tab w:val="num" w:pos="720"/>
        </w:tabs>
        <w:rPr>
          <w:rFonts w:ascii="宋体" w:eastAsia="宋体" w:hAnsi="宋体" w:cs="宋体"/>
          <w:b/>
          <w:kern w:val="0"/>
          <w:sz w:val="18"/>
          <w:szCs w:val="18"/>
        </w:rPr>
      </w:pP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2</w:t>
      </w:r>
      <w:r w:rsidRPr="00C80023">
        <w:rPr>
          <w:rFonts w:ascii="Times New Roman" w:eastAsia="宋体" w:hAnsi="Times New Roman" w:cs="Times New Roman" w:hint="eastAsia"/>
          <w:b/>
          <w:bCs/>
          <w:sz w:val="18"/>
          <w:szCs w:val="18"/>
        </w:rPr>
        <w:t xml:space="preserve">.1 </w:t>
      </w:r>
      <w:r w:rsidRPr="009D348A">
        <w:rPr>
          <w:rFonts w:ascii="宋体" w:hAnsi="宋体"/>
          <w:b/>
          <w:szCs w:val="21"/>
        </w:rPr>
        <w:t>欧盟《塞维索法令》</w:t>
      </w:r>
      <w:r>
        <w:rPr>
          <w:rFonts w:ascii="宋体" w:hAnsi="宋体"/>
          <w:b/>
          <w:szCs w:val="21"/>
        </w:rPr>
        <w:t>编制与修订的主要特点</w:t>
      </w:r>
    </w:p>
    <w:p w:rsidR="00097303" w:rsidRDefault="00097303" w:rsidP="00097303">
      <w:pPr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097303">
        <w:rPr>
          <w:rFonts w:ascii="宋体" w:eastAsia="宋体" w:hAnsi="宋体" w:cs="宋体"/>
          <w:kern w:val="0"/>
          <w:sz w:val="18"/>
          <w:szCs w:val="18"/>
        </w:rPr>
        <w:t>《塞维索法令》主要是根据恶性事故的发生调整适用范围，根据生产应用需要以及事故分析现状适当增减危险物质的临界量，并通过先进的技术手段、严格的管理措施增加危险物质的临界量。欧盟通过从工业活动中总结出的经验教训来调整危险物质的临界量，使得重大危险源辨识标准更加适用于工业活动生产现状。</w:t>
      </w:r>
    </w:p>
    <w:p w:rsidR="00097303" w:rsidRDefault="00097303" w:rsidP="00097303">
      <w:pPr>
        <w:rPr>
          <w:rFonts w:ascii="Times New Roman" w:hAnsi="Times New Roman"/>
          <w:b/>
          <w:bCs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2</w:t>
      </w:r>
      <w:r w:rsidRPr="00C80023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.</w:t>
      </w: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2</w:t>
      </w:r>
      <w:r w:rsidRPr="00C80023">
        <w:rPr>
          <w:rFonts w:ascii="Times New Roman" w:eastAsia="宋体" w:hAnsi="Times New Roman" w:cs="Times New Roman" w:hint="eastAsia"/>
          <w:b/>
          <w:bCs/>
          <w:sz w:val="18"/>
          <w:szCs w:val="18"/>
        </w:rPr>
        <w:t xml:space="preserve"> </w:t>
      </w:r>
      <w:r w:rsidRPr="00097303">
        <w:rPr>
          <w:rFonts w:ascii="Times New Roman" w:hAnsi="Times New Roman"/>
          <w:b/>
          <w:bCs/>
          <w:szCs w:val="21"/>
        </w:rPr>
        <w:t>我国《危险化学品重大危险源辨识》标准的编制与修订</w:t>
      </w:r>
    </w:p>
    <w:p w:rsidR="00097303" w:rsidRPr="00FA361F" w:rsidRDefault="00097303" w:rsidP="00072E80">
      <w:pPr>
        <w:ind w:firstLineChars="200" w:firstLine="360"/>
        <w:rPr>
          <w:rFonts w:ascii="Times New Roman" w:eastAsia="宋体" w:hAnsi="Times New Roman" w:cs="Times New Roman"/>
          <w:kern w:val="0"/>
          <w:sz w:val="18"/>
          <w:szCs w:val="18"/>
        </w:rPr>
      </w:pPr>
      <w:r w:rsidRPr="00FA361F">
        <w:rPr>
          <w:rFonts w:ascii="Times New Roman" w:eastAsia="宋体" w:hAnsi="宋体" w:cs="Times New Roman"/>
          <w:kern w:val="0"/>
          <w:sz w:val="18"/>
          <w:szCs w:val="18"/>
        </w:rPr>
        <w:t>我国</w:t>
      </w:r>
      <w:r w:rsidR="00072E80" w:rsidRPr="00FA361F">
        <w:rPr>
          <w:rFonts w:ascii="Times New Roman" w:eastAsia="宋体" w:hAnsi="宋体" w:cs="Times New Roman"/>
          <w:kern w:val="0"/>
          <w:sz w:val="18"/>
          <w:szCs w:val="18"/>
        </w:rPr>
        <w:t>《危险化学品重大危险源辨识》标准，</w:t>
      </w:r>
      <w:r w:rsidRPr="00FA361F">
        <w:rPr>
          <w:rFonts w:ascii="Times New Roman" w:eastAsia="宋体" w:hAnsi="宋体" w:cs="Times New Roman"/>
          <w:kern w:val="0"/>
          <w:sz w:val="18"/>
          <w:szCs w:val="18"/>
        </w:rPr>
        <w:t>在</w:t>
      </w:r>
      <w:r w:rsidRPr="00FA361F">
        <w:rPr>
          <w:rFonts w:ascii="Times New Roman" w:eastAsia="宋体" w:hAnsi="Times New Roman" w:cs="Times New Roman"/>
          <w:kern w:val="0"/>
          <w:sz w:val="18"/>
          <w:szCs w:val="18"/>
        </w:rPr>
        <w:t>1997</w:t>
      </w:r>
      <w:r w:rsidRPr="00FA361F">
        <w:rPr>
          <w:rFonts w:ascii="Times New Roman" w:eastAsia="宋体" w:hAnsi="宋体" w:cs="Times New Roman"/>
          <w:kern w:val="0"/>
          <w:sz w:val="18"/>
          <w:szCs w:val="18"/>
        </w:rPr>
        <w:t>年由原劳动部组织实施重大危险源普查试点工作，参照欧共体颁布的《塞维索法令》，结合我国有关法规及实际生产技术水平，对北京等</w:t>
      </w:r>
      <w:r w:rsidRPr="00FA361F">
        <w:rPr>
          <w:rFonts w:ascii="Times New Roman" w:eastAsia="宋体" w:hAnsi="Times New Roman" w:cs="Times New Roman"/>
          <w:kern w:val="0"/>
          <w:sz w:val="18"/>
          <w:szCs w:val="18"/>
        </w:rPr>
        <w:t>6</w:t>
      </w:r>
      <w:r w:rsidRPr="00FA361F">
        <w:rPr>
          <w:rFonts w:ascii="Times New Roman" w:eastAsia="宋体" w:hAnsi="宋体" w:cs="Times New Roman"/>
          <w:kern w:val="0"/>
          <w:sz w:val="18"/>
          <w:szCs w:val="18"/>
        </w:rPr>
        <w:t>个城市进行重大危险源普查，在普查工作基础上，制定了我国重大危险源辨识标准。</w:t>
      </w:r>
      <w:r w:rsidR="00072E80" w:rsidRPr="00FA361F">
        <w:rPr>
          <w:rFonts w:ascii="Times New Roman" w:eastAsia="宋体" w:hAnsi="宋体" w:cs="Times New Roman"/>
          <w:kern w:val="0"/>
          <w:sz w:val="18"/>
          <w:szCs w:val="18"/>
        </w:rPr>
        <w:t>标准中对危险化学品的种类划分越来越细致、全面；通过重大危险源分级指标（</w:t>
      </w:r>
      <w:r w:rsidR="00072E80" w:rsidRPr="00FA361F">
        <w:rPr>
          <w:rFonts w:ascii="Times New Roman" w:eastAsia="宋体" w:hAnsi="Times New Roman" w:cs="Times New Roman"/>
          <w:kern w:val="0"/>
          <w:sz w:val="18"/>
          <w:szCs w:val="18"/>
        </w:rPr>
        <w:t>R</w:t>
      </w:r>
      <w:r w:rsidR="00072E80" w:rsidRPr="00FA361F">
        <w:rPr>
          <w:rFonts w:ascii="Times New Roman" w:eastAsia="宋体" w:hAnsi="宋体" w:cs="Times New Roman"/>
          <w:kern w:val="0"/>
          <w:sz w:val="18"/>
          <w:szCs w:val="18"/>
        </w:rPr>
        <w:t>值）的计算进行分级，综合考虑了与重大危险源息息相关的危险化学品的数量、类别以及周边人口数量等因素，更加简单易行，更具科学性；随着社会经济不断发展、安全技术管理水平不断提升，危险化学品的安全保障能力不断提高，标准对临界量的赋值越来越大，与快速发展的生产现状相适应，更加贴近生产经营实际，为推进我国化工行业的快速发展奠定了良好的基础。</w:t>
      </w:r>
    </w:p>
    <w:p w:rsidR="0000084B" w:rsidRPr="0029485D" w:rsidRDefault="009D348A" w:rsidP="0000084B">
      <w:pPr>
        <w:pStyle w:val="a5"/>
        <w:shd w:val="clear" w:color="auto" w:fill="FFFFFF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 w:rsidR="00DE6DBC">
        <w:rPr>
          <w:rFonts w:hint="eastAsia"/>
          <w:b/>
          <w:sz w:val="21"/>
          <w:szCs w:val="21"/>
        </w:rPr>
        <w:t>.</w:t>
      </w:r>
      <w:r w:rsidR="0000084B">
        <w:rPr>
          <w:rFonts w:hint="eastAsia"/>
          <w:b/>
          <w:sz w:val="21"/>
          <w:szCs w:val="21"/>
        </w:rPr>
        <w:t xml:space="preserve"> </w:t>
      </w:r>
      <w:r>
        <w:rPr>
          <w:rFonts w:hint="eastAsia"/>
          <w:b/>
          <w:sz w:val="21"/>
          <w:szCs w:val="21"/>
        </w:rPr>
        <w:t>关于</w:t>
      </w:r>
      <w:r>
        <w:rPr>
          <w:b/>
          <w:sz w:val="21"/>
          <w:szCs w:val="21"/>
        </w:rPr>
        <w:t>进一步完善重大危险源辨识标准的思考</w:t>
      </w:r>
    </w:p>
    <w:p w:rsidR="0000084B" w:rsidRPr="0000084B" w:rsidRDefault="009D348A" w:rsidP="0000084B">
      <w:pPr>
        <w:tabs>
          <w:tab w:val="num" w:pos="720"/>
        </w:tabs>
        <w:rPr>
          <w:rFonts w:ascii="宋体" w:eastAsia="宋体" w:hAnsi="宋体" w:cs="宋体"/>
          <w:b/>
          <w:kern w:val="0"/>
          <w:sz w:val="18"/>
          <w:szCs w:val="18"/>
        </w:rPr>
      </w:pP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3</w:t>
      </w:r>
      <w:r w:rsidR="0000084B" w:rsidRPr="00C80023">
        <w:rPr>
          <w:rFonts w:ascii="Times New Roman" w:eastAsia="宋体" w:hAnsi="Times New Roman" w:cs="Times New Roman" w:hint="eastAsia"/>
          <w:b/>
          <w:bCs/>
          <w:sz w:val="18"/>
          <w:szCs w:val="18"/>
        </w:rPr>
        <w:t xml:space="preserve">.1 </w:t>
      </w:r>
      <w:r>
        <w:rPr>
          <w:rFonts w:ascii="宋体" w:eastAsia="宋体" w:hAnsi="宋体" w:cs="宋体" w:hint="eastAsia"/>
          <w:b/>
          <w:kern w:val="0"/>
          <w:sz w:val="18"/>
          <w:szCs w:val="18"/>
        </w:rPr>
        <w:t>补充完善临界量的范围</w:t>
      </w:r>
    </w:p>
    <w:p w:rsidR="0000084B" w:rsidRPr="00FA361F" w:rsidRDefault="009D348A" w:rsidP="009D348A">
      <w:pPr>
        <w:ind w:firstLineChars="200" w:firstLine="360"/>
        <w:rPr>
          <w:rFonts w:ascii="Times New Roman" w:eastAsia="宋体" w:hAnsi="Times New Roman" w:cs="Times New Roman"/>
          <w:kern w:val="0"/>
          <w:sz w:val="18"/>
          <w:szCs w:val="18"/>
        </w:rPr>
      </w:pPr>
      <w:r w:rsidRPr="00FA361F">
        <w:rPr>
          <w:rFonts w:ascii="Times New Roman" w:eastAsia="宋体" w:hAnsi="Times New Roman" w:cs="Times New Roman"/>
          <w:kern w:val="0"/>
          <w:sz w:val="18"/>
          <w:szCs w:val="18"/>
        </w:rPr>
        <w:t>2018</w:t>
      </w:r>
      <w:r w:rsidRPr="00FA361F">
        <w:rPr>
          <w:rFonts w:ascii="Times New Roman" w:eastAsia="宋体" w:hAnsi="Times New Roman" w:cs="Times New Roman"/>
          <w:kern w:val="0"/>
          <w:sz w:val="18"/>
          <w:szCs w:val="18"/>
        </w:rPr>
        <w:t>版标准是参照《化学品分类和标签规范》标准对危险化学品进行分类的，但</w:t>
      </w:r>
      <w:r w:rsidRPr="00FA361F">
        <w:rPr>
          <w:rFonts w:ascii="Times New Roman" w:eastAsia="宋体" w:hAnsi="Times New Roman" w:cs="Times New Roman"/>
          <w:kern w:val="0"/>
          <w:sz w:val="18"/>
          <w:szCs w:val="18"/>
        </w:rPr>
        <w:t>GB18218-2018</w:t>
      </w:r>
      <w:r w:rsidRPr="00FA361F">
        <w:rPr>
          <w:rFonts w:ascii="Times New Roman" w:eastAsia="宋体" w:hAnsi="Times New Roman" w:cs="Times New Roman"/>
          <w:kern w:val="0"/>
          <w:sz w:val="18"/>
          <w:szCs w:val="18"/>
        </w:rPr>
        <w:t>标准中仅规定了易燃液体等</w:t>
      </w:r>
      <w:r w:rsidRPr="00FA361F">
        <w:rPr>
          <w:rFonts w:ascii="Times New Roman" w:eastAsia="宋体" w:hAnsi="Times New Roman" w:cs="Times New Roman"/>
          <w:kern w:val="0"/>
          <w:sz w:val="18"/>
          <w:szCs w:val="18"/>
        </w:rPr>
        <w:t>14</w:t>
      </w:r>
      <w:r w:rsidRPr="00FA361F">
        <w:rPr>
          <w:rFonts w:ascii="Times New Roman" w:eastAsia="宋体" w:hAnsi="Times New Roman" w:cs="Times New Roman"/>
          <w:kern w:val="0"/>
          <w:sz w:val="18"/>
          <w:szCs w:val="18"/>
        </w:rPr>
        <w:t>类危险化学品的临界量，尚未规定致癌性等</w:t>
      </w:r>
      <w:r w:rsidRPr="00FA361F">
        <w:rPr>
          <w:rFonts w:ascii="Times New Roman" w:eastAsia="宋体" w:hAnsi="Times New Roman" w:cs="Times New Roman"/>
          <w:kern w:val="0"/>
          <w:sz w:val="18"/>
          <w:szCs w:val="18"/>
        </w:rPr>
        <w:t>14</w:t>
      </w:r>
      <w:r w:rsidRPr="00FA361F">
        <w:rPr>
          <w:rFonts w:ascii="Times New Roman" w:eastAsia="宋体" w:hAnsi="Times New Roman" w:cs="Times New Roman"/>
          <w:kern w:val="0"/>
          <w:sz w:val="18"/>
          <w:szCs w:val="18"/>
        </w:rPr>
        <w:t>类危险化学品的临界量。应结合化工行业的发展需要，补充完善尚未规定临界量的</w:t>
      </w:r>
      <w:r w:rsidRPr="00FA361F">
        <w:rPr>
          <w:rFonts w:ascii="Times New Roman" w:eastAsia="宋体" w:hAnsi="Times New Roman" w:cs="Times New Roman"/>
          <w:kern w:val="0"/>
          <w:sz w:val="18"/>
          <w:szCs w:val="18"/>
        </w:rPr>
        <w:t>14</w:t>
      </w:r>
      <w:r w:rsidRPr="00FA361F">
        <w:rPr>
          <w:rFonts w:ascii="Times New Roman" w:eastAsia="宋体" w:hAnsi="Times New Roman" w:cs="Times New Roman"/>
          <w:kern w:val="0"/>
          <w:sz w:val="18"/>
          <w:szCs w:val="18"/>
        </w:rPr>
        <w:t>类危险化学品，以便于重大危险源辨识从职业健康、环境保护，生产安全多维度综合考虑，确保标准的科学性和全面性。</w:t>
      </w:r>
    </w:p>
    <w:p w:rsidR="0000084B" w:rsidRPr="0000084B" w:rsidRDefault="009D348A" w:rsidP="0000084B">
      <w:pPr>
        <w:rPr>
          <w:rFonts w:ascii="宋体" w:eastAsia="宋体" w:hAnsi="宋体" w:cs="宋体"/>
          <w:b/>
          <w:kern w:val="0"/>
          <w:sz w:val="18"/>
          <w:szCs w:val="18"/>
        </w:rPr>
      </w:pPr>
      <w:bookmarkStart w:id="0" w:name="_Hlk53243505"/>
      <w:r>
        <w:rPr>
          <w:rFonts w:ascii="Times New Roman" w:eastAsia="宋体" w:hAnsi="Times New Roman" w:cs="Times New Roman" w:hint="eastAsia"/>
          <w:b/>
          <w:kern w:val="0"/>
          <w:sz w:val="18"/>
          <w:szCs w:val="18"/>
        </w:rPr>
        <w:t>3</w:t>
      </w:r>
      <w:r w:rsidR="0000084B" w:rsidRPr="00DE6DBC">
        <w:rPr>
          <w:rFonts w:ascii="Times New Roman" w:eastAsia="宋体" w:hAnsi="Times New Roman" w:cs="Times New Roman"/>
          <w:b/>
          <w:kern w:val="0"/>
          <w:sz w:val="18"/>
          <w:szCs w:val="18"/>
        </w:rPr>
        <w:t xml:space="preserve">.2 </w:t>
      </w:r>
      <w:r w:rsidR="00A1392C">
        <w:rPr>
          <w:rFonts w:ascii="宋体" w:eastAsia="宋体" w:hAnsi="宋体" w:cs="宋体" w:hint="eastAsia"/>
          <w:b/>
          <w:kern w:val="0"/>
          <w:sz w:val="18"/>
          <w:szCs w:val="18"/>
        </w:rPr>
        <w:t>重大</w:t>
      </w:r>
      <w:r w:rsidR="00A1392C">
        <w:rPr>
          <w:rFonts w:ascii="宋体" w:eastAsia="宋体" w:hAnsi="宋体" w:cs="宋体"/>
          <w:b/>
          <w:kern w:val="0"/>
          <w:sz w:val="18"/>
          <w:szCs w:val="18"/>
        </w:rPr>
        <w:t>危险源分级理论中的特殊情况应升级管理</w:t>
      </w:r>
    </w:p>
    <w:bookmarkEnd w:id="0"/>
    <w:p w:rsidR="0000084B" w:rsidRPr="0000084B" w:rsidRDefault="00A1392C" w:rsidP="0000084B">
      <w:pPr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A1392C">
        <w:rPr>
          <w:rFonts w:ascii="Times New Roman" w:eastAsia="宋体" w:hAnsi="宋体" w:cs="Times New Roman"/>
          <w:kern w:val="0"/>
          <w:sz w:val="18"/>
          <w:szCs w:val="18"/>
        </w:rPr>
        <w:t>重大危险源分级理论中辨识指标</w:t>
      </w:r>
      <w:r w:rsidRPr="00A1392C">
        <w:rPr>
          <w:rFonts w:ascii="Times New Roman" w:eastAsia="宋体" w:hAnsi="Times New Roman" w:cs="Times New Roman"/>
          <w:kern w:val="0"/>
          <w:sz w:val="18"/>
          <w:szCs w:val="18"/>
        </w:rPr>
        <w:t>S</w:t>
      </w:r>
      <w:r w:rsidRPr="00A1392C">
        <w:rPr>
          <w:rFonts w:ascii="Times New Roman" w:eastAsia="宋体" w:hAnsi="Times New Roman" w:cs="Times New Roman" w:hint="eastAsia"/>
          <w:kern w:val="0"/>
          <w:sz w:val="18"/>
          <w:szCs w:val="18"/>
        </w:rPr>
        <w:t>≥</w:t>
      </w:r>
      <w:r w:rsidRPr="00A1392C">
        <w:rPr>
          <w:rFonts w:ascii="Times New Roman" w:eastAsia="宋体" w:hAnsi="Times New Roman" w:cs="Times New Roman"/>
          <w:kern w:val="0"/>
          <w:sz w:val="18"/>
          <w:szCs w:val="18"/>
        </w:rPr>
        <w:t>1</w:t>
      </w:r>
      <w:r w:rsidRPr="00A1392C">
        <w:rPr>
          <w:rFonts w:ascii="Times New Roman" w:eastAsia="宋体" w:hAnsi="宋体" w:cs="Times New Roman"/>
          <w:kern w:val="0"/>
          <w:sz w:val="18"/>
          <w:szCs w:val="18"/>
        </w:rPr>
        <w:t>时，以分级指标</w:t>
      </w:r>
      <w:r w:rsidRPr="00A1392C">
        <w:rPr>
          <w:rFonts w:ascii="Times New Roman" w:eastAsia="宋体" w:hAnsi="Times New Roman" w:cs="Times New Roman"/>
          <w:kern w:val="0"/>
          <w:sz w:val="18"/>
          <w:szCs w:val="18"/>
        </w:rPr>
        <w:t>R</w:t>
      </w:r>
      <w:r w:rsidRPr="00A1392C">
        <w:rPr>
          <w:rFonts w:ascii="Times New Roman" w:eastAsia="宋体" w:hAnsi="宋体" w:cs="Times New Roman"/>
          <w:kern w:val="0"/>
          <w:sz w:val="18"/>
          <w:szCs w:val="18"/>
        </w:rPr>
        <w:t>值为分级依据。当</w:t>
      </w:r>
      <w:r w:rsidRPr="00A1392C">
        <w:rPr>
          <w:rFonts w:ascii="Times New Roman" w:eastAsia="宋体" w:hAnsi="Times New Roman" w:cs="Times New Roman"/>
          <w:kern w:val="0"/>
          <w:sz w:val="18"/>
          <w:szCs w:val="18"/>
        </w:rPr>
        <w:t>S</w:t>
      </w:r>
      <w:r w:rsidRPr="00A1392C">
        <w:rPr>
          <w:rFonts w:ascii="Times New Roman" w:eastAsia="宋体" w:hAnsi="宋体" w:cs="Times New Roman"/>
          <w:kern w:val="0"/>
          <w:sz w:val="18"/>
          <w:szCs w:val="18"/>
        </w:rPr>
        <w:t>＜</w:t>
      </w:r>
      <w:r w:rsidRPr="00A1392C">
        <w:rPr>
          <w:rFonts w:ascii="Times New Roman" w:eastAsia="宋体" w:hAnsi="Times New Roman" w:cs="Times New Roman"/>
          <w:kern w:val="0"/>
          <w:sz w:val="18"/>
          <w:szCs w:val="18"/>
        </w:rPr>
        <w:t>1</w:t>
      </w:r>
      <w:r w:rsidRPr="00A1392C">
        <w:rPr>
          <w:rFonts w:ascii="Times New Roman" w:eastAsia="宋体" w:hAnsi="宋体" w:cs="Times New Roman"/>
          <w:kern w:val="0"/>
          <w:sz w:val="18"/>
          <w:szCs w:val="18"/>
        </w:rPr>
        <w:t>时，可能存在</w:t>
      </w:r>
      <w:r w:rsidRPr="00A1392C">
        <w:rPr>
          <w:rFonts w:ascii="Times New Roman" w:eastAsia="宋体" w:hAnsi="Times New Roman" w:cs="Times New Roman"/>
          <w:kern w:val="0"/>
          <w:sz w:val="18"/>
          <w:szCs w:val="18"/>
        </w:rPr>
        <w:t>R</w:t>
      </w:r>
      <w:r w:rsidRPr="00A1392C">
        <w:rPr>
          <w:rFonts w:ascii="Times New Roman" w:eastAsia="宋体" w:hAnsi="Times New Roman" w:cs="Times New Roman" w:hint="eastAsia"/>
          <w:kern w:val="0"/>
          <w:sz w:val="18"/>
          <w:szCs w:val="18"/>
        </w:rPr>
        <w:t>≥</w:t>
      </w:r>
      <w:r w:rsidRPr="00A1392C">
        <w:rPr>
          <w:rFonts w:ascii="Times New Roman" w:eastAsia="宋体" w:hAnsi="Times New Roman" w:cs="Times New Roman"/>
          <w:kern w:val="0"/>
          <w:sz w:val="18"/>
          <w:szCs w:val="18"/>
        </w:rPr>
        <w:t>1</w:t>
      </w:r>
      <w:r w:rsidRPr="00A1392C">
        <w:rPr>
          <w:rFonts w:ascii="Times New Roman" w:eastAsia="宋体" w:hAnsi="宋体" w:cs="Times New Roman"/>
          <w:kern w:val="0"/>
          <w:sz w:val="18"/>
          <w:szCs w:val="18"/>
        </w:rPr>
        <w:lastRenderedPageBreak/>
        <w:t>的情况，建议适时调整危险源分级理论，当</w:t>
      </w:r>
      <w:r w:rsidRPr="00A1392C">
        <w:rPr>
          <w:rFonts w:ascii="Times New Roman" w:eastAsia="宋体" w:hAnsi="Times New Roman" w:cs="Times New Roman"/>
          <w:kern w:val="0"/>
          <w:sz w:val="18"/>
          <w:szCs w:val="18"/>
        </w:rPr>
        <w:t>R</w:t>
      </w:r>
      <w:r w:rsidRPr="00A1392C">
        <w:rPr>
          <w:rFonts w:ascii="Times New Roman" w:eastAsia="宋体" w:hAnsi="Times New Roman" w:cs="Times New Roman" w:hint="eastAsia"/>
          <w:kern w:val="0"/>
          <w:sz w:val="18"/>
          <w:szCs w:val="18"/>
        </w:rPr>
        <w:t>≥</w:t>
      </w:r>
      <w:r w:rsidRPr="00A1392C">
        <w:rPr>
          <w:rFonts w:ascii="Times New Roman" w:eastAsia="宋体" w:hAnsi="Times New Roman" w:cs="Times New Roman"/>
          <w:kern w:val="0"/>
          <w:sz w:val="18"/>
          <w:szCs w:val="18"/>
        </w:rPr>
        <w:t>1</w:t>
      </w:r>
      <w:r w:rsidRPr="00A1392C">
        <w:rPr>
          <w:rFonts w:ascii="Times New Roman" w:eastAsia="宋体" w:hAnsi="宋体" w:cs="Times New Roman"/>
          <w:kern w:val="0"/>
          <w:sz w:val="18"/>
          <w:szCs w:val="18"/>
        </w:rPr>
        <w:t>时，即使</w:t>
      </w:r>
      <w:r w:rsidRPr="00A1392C">
        <w:rPr>
          <w:rFonts w:ascii="Times New Roman" w:eastAsia="宋体" w:hAnsi="Times New Roman" w:cs="Times New Roman"/>
          <w:kern w:val="0"/>
          <w:sz w:val="18"/>
          <w:szCs w:val="18"/>
        </w:rPr>
        <w:t>S</w:t>
      </w:r>
      <w:r w:rsidRPr="00A1392C">
        <w:rPr>
          <w:rFonts w:ascii="Times New Roman" w:eastAsia="宋体" w:hAnsi="宋体" w:cs="Times New Roman"/>
          <w:kern w:val="0"/>
          <w:sz w:val="18"/>
          <w:szCs w:val="18"/>
        </w:rPr>
        <w:t>＜</w:t>
      </w:r>
      <w:r w:rsidRPr="00A1392C">
        <w:rPr>
          <w:rFonts w:ascii="Times New Roman" w:eastAsia="宋体" w:hAnsi="Times New Roman" w:cs="Times New Roman"/>
          <w:kern w:val="0"/>
          <w:sz w:val="18"/>
          <w:szCs w:val="18"/>
        </w:rPr>
        <w:t>1</w:t>
      </w:r>
      <w:r w:rsidRPr="00A1392C">
        <w:rPr>
          <w:rFonts w:ascii="Times New Roman" w:eastAsia="宋体" w:hAnsi="宋体" w:cs="Times New Roman"/>
          <w:kern w:val="0"/>
          <w:sz w:val="18"/>
          <w:szCs w:val="18"/>
        </w:rPr>
        <w:t>也纳入重大危险源升级管理。</w:t>
      </w:r>
    </w:p>
    <w:p w:rsidR="0000084B" w:rsidRPr="00811DAE" w:rsidRDefault="009D348A" w:rsidP="0000084B">
      <w:pPr>
        <w:rPr>
          <w:rFonts w:ascii="宋体" w:eastAsia="宋体" w:hAnsi="宋体" w:cs="宋体"/>
          <w:b/>
          <w:kern w:val="0"/>
          <w:sz w:val="18"/>
          <w:szCs w:val="18"/>
        </w:rPr>
      </w:pPr>
      <w:r>
        <w:rPr>
          <w:rFonts w:ascii="Times New Roman" w:eastAsia="宋体" w:hAnsi="Times New Roman" w:cs="Times New Roman" w:hint="eastAsia"/>
          <w:b/>
          <w:kern w:val="0"/>
          <w:sz w:val="18"/>
          <w:szCs w:val="18"/>
        </w:rPr>
        <w:t>3</w:t>
      </w:r>
      <w:r w:rsidR="0000084B" w:rsidRPr="00DE6DBC">
        <w:rPr>
          <w:rFonts w:ascii="Times New Roman" w:eastAsia="宋体" w:hAnsi="Times New Roman" w:cs="Times New Roman"/>
          <w:b/>
          <w:kern w:val="0"/>
          <w:sz w:val="18"/>
          <w:szCs w:val="18"/>
        </w:rPr>
        <w:t>.3</w:t>
      </w:r>
      <w:r w:rsidR="00A1392C">
        <w:rPr>
          <w:rFonts w:ascii="Times New Roman" w:eastAsia="宋体" w:hAnsi="Times New Roman" w:cs="Times New Roman" w:hint="eastAsia"/>
          <w:b/>
          <w:kern w:val="0"/>
          <w:sz w:val="18"/>
          <w:szCs w:val="18"/>
        </w:rPr>
        <w:t xml:space="preserve"> </w:t>
      </w:r>
      <w:r w:rsidR="00A1392C" w:rsidRPr="00A1392C">
        <w:rPr>
          <w:rFonts w:ascii="宋体" w:eastAsia="宋体" w:hAnsi="宋体" w:cs="宋体"/>
          <w:b/>
          <w:kern w:val="0"/>
          <w:sz w:val="18"/>
          <w:szCs w:val="18"/>
        </w:rPr>
        <w:t>非重大危险源应细化分级，科学管控</w:t>
      </w:r>
    </w:p>
    <w:p w:rsidR="001E0987" w:rsidRDefault="00A1392C" w:rsidP="00A1392C">
      <w:pPr>
        <w:ind w:firstLineChars="200" w:firstLine="360"/>
        <w:rPr>
          <w:rFonts w:ascii="宋体" w:eastAsia="宋体" w:hAnsi="宋体" w:cs="宋体"/>
          <w:b/>
          <w:kern w:val="0"/>
          <w:sz w:val="18"/>
          <w:szCs w:val="18"/>
        </w:rPr>
      </w:pPr>
      <w:r w:rsidRPr="00A1392C">
        <w:rPr>
          <w:rFonts w:ascii="宋体" w:eastAsia="宋体" w:hAnsi="宋体" w:cs="宋体"/>
          <w:kern w:val="0"/>
          <w:sz w:val="18"/>
          <w:szCs w:val="18"/>
        </w:rPr>
        <w:t>非重大危险源分为中小型生产企业、分析实验室、研发实验室等不同场景，它们的共同特点是本身危险化学品数量较少，分级指标较小。现行的法律法规对非重大危险源没有制定相应管理要求，但基本都按照危险化学品的性质进行管理，很少考虑危险化学品的数量，这对于使用和储存包装小、危险性小的科学研究、实验检验、教学等方面影响较大。对于非重大危险源，在生产、经营、储存、运输、使用、废弃处置等各个环节上由于本身数量相差较大，危险源分级指标差异明显，也应进行细化分级，科学管控。</w:t>
      </w:r>
    </w:p>
    <w:p w:rsidR="001E0987" w:rsidRPr="001E0987" w:rsidRDefault="001E0987" w:rsidP="00762437">
      <w:pPr>
        <w:pStyle w:val="a5"/>
        <w:shd w:val="clear" w:color="auto" w:fill="FFFFFF"/>
        <w:rPr>
          <w:rStyle w:val="a6"/>
          <w:rFonts w:asciiTheme="minorEastAsia" w:eastAsiaTheme="minorEastAsia" w:hAnsiTheme="minorEastAsia"/>
          <w:color w:val="333333"/>
          <w:spacing w:val="5"/>
          <w:sz w:val="15"/>
          <w:szCs w:val="15"/>
          <w:shd w:val="clear" w:color="auto" w:fill="FFFFFF"/>
        </w:rPr>
      </w:pPr>
      <w:r w:rsidRPr="001E0987">
        <w:rPr>
          <w:rStyle w:val="a6"/>
          <w:rFonts w:asciiTheme="minorEastAsia" w:eastAsiaTheme="minorEastAsia" w:hAnsiTheme="minorEastAsia" w:hint="eastAsia"/>
          <w:color w:val="333333"/>
          <w:spacing w:val="5"/>
          <w:sz w:val="15"/>
          <w:szCs w:val="15"/>
          <w:shd w:val="clear" w:color="auto" w:fill="FFFFFF"/>
        </w:rPr>
        <w:t>本文节选于</w:t>
      </w:r>
      <w:r w:rsidRPr="001E0987">
        <w:rPr>
          <w:rFonts w:asciiTheme="minorEastAsia" w:eastAsiaTheme="minorEastAsia" w:hAnsiTheme="minorEastAsia" w:hint="eastAsia"/>
          <w:b/>
          <w:bCs/>
          <w:color w:val="333333"/>
          <w:spacing w:val="5"/>
          <w:sz w:val="15"/>
          <w:szCs w:val="15"/>
          <w:shd w:val="clear" w:color="auto" w:fill="FFFFFF"/>
        </w:rPr>
        <w:t>《化学试剂》2021年第43卷第</w:t>
      </w:r>
      <w:r w:rsidR="00780C30">
        <w:rPr>
          <w:rFonts w:asciiTheme="minorEastAsia" w:eastAsiaTheme="minorEastAsia" w:hAnsiTheme="minorEastAsia" w:hint="eastAsia"/>
          <w:b/>
          <w:bCs/>
          <w:color w:val="333333"/>
          <w:spacing w:val="5"/>
          <w:sz w:val="15"/>
          <w:szCs w:val="15"/>
          <w:shd w:val="clear" w:color="auto" w:fill="FFFFFF"/>
        </w:rPr>
        <w:t>2</w:t>
      </w:r>
      <w:r w:rsidRPr="001E0987">
        <w:rPr>
          <w:rFonts w:asciiTheme="minorEastAsia" w:eastAsiaTheme="minorEastAsia" w:hAnsiTheme="minorEastAsia" w:hint="eastAsia"/>
          <w:b/>
          <w:bCs/>
          <w:color w:val="333333"/>
          <w:spacing w:val="5"/>
          <w:sz w:val="15"/>
          <w:szCs w:val="15"/>
          <w:shd w:val="clear" w:color="auto" w:fill="FFFFFF"/>
        </w:rPr>
        <w:t>期文章</w:t>
      </w:r>
      <w:r w:rsidR="00762437">
        <w:rPr>
          <w:rFonts w:asciiTheme="minorEastAsia" w:eastAsiaTheme="minorEastAsia" w:hAnsiTheme="minorEastAsia" w:hint="eastAsia"/>
          <w:b/>
          <w:bCs/>
          <w:color w:val="333333"/>
          <w:spacing w:val="5"/>
          <w:sz w:val="15"/>
          <w:szCs w:val="15"/>
          <w:shd w:val="clear" w:color="auto" w:fill="FFFFFF"/>
        </w:rPr>
        <w:t>，</w:t>
      </w:r>
      <w:r w:rsidRPr="001E0987">
        <w:rPr>
          <w:rFonts w:asciiTheme="minorEastAsia" w:eastAsiaTheme="minorEastAsia" w:hAnsiTheme="minorEastAsia" w:hint="eastAsia"/>
          <w:b/>
          <w:bCs/>
          <w:color w:val="333333"/>
          <w:spacing w:val="5"/>
          <w:sz w:val="15"/>
          <w:szCs w:val="15"/>
          <w:shd w:val="clear" w:color="auto" w:fill="FFFFFF"/>
        </w:rPr>
        <w:t>《</w:t>
      </w:r>
      <w:r w:rsidR="00EE3009">
        <w:rPr>
          <w:rFonts w:asciiTheme="minorEastAsia" w:eastAsiaTheme="minorEastAsia" w:hAnsiTheme="minorEastAsia" w:hint="eastAsia"/>
          <w:b/>
          <w:bCs/>
          <w:color w:val="333333"/>
          <w:spacing w:val="5"/>
          <w:sz w:val="15"/>
          <w:szCs w:val="15"/>
          <w:shd w:val="clear" w:color="auto" w:fill="FFFFFF"/>
        </w:rPr>
        <w:t>危险化学品重大危险源辨识研究进展</w:t>
      </w:r>
      <w:r w:rsidRPr="001E0987">
        <w:rPr>
          <w:rFonts w:asciiTheme="minorEastAsia" w:eastAsiaTheme="minorEastAsia" w:hAnsiTheme="minorEastAsia" w:hint="eastAsia"/>
          <w:b/>
          <w:bCs/>
          <w:color w:val="333333"/>
          <w:spacing w:val="5"/>
          <w:sz w:val="15"/>
          <w:szCs w:val="15"/>
          <w:shd w:val="clear" w:color="auto" w:fill="FFFFFF"/>
        </w:rPr>
        <w:t>》</w:t>
      </w:r>
      <w:r>
        <w:rPr>
          <w:rFonts w:asciiTheme="minorEastAsia" w:eastAsiaTheme="minorEastAsia" w:hAnsiTheme="minorEastAsia" w:hint="eastAsia"/>
          <w:b/>
          <w:bCs/>
          <w:color w:val="333333"/>
          <w:spacing w:val="5"/>
          <w:sz w:val="15"/>
          <w:szCs w:val="15"/>
          <w:shd w:val="clear" w:color="auto" w:fill="FFFFFF"/>
        </w:rPr>
        <w:t>，</w:t>
      </w:r>
      <w:r w:rsidR="00762437">
        <w:rPr>
          <w:rFonts w:asciiTheme="minorEastAsia" w:eastAsiaTheme="minorEastAsia" w:hAnsiTheme="minorEastAsia" w:hint="eastAsia"/>
          <w:b/>
          <w:bCs/>
          <w:color w:val="333333"/>
          <w:spacing w:val="5"/>
          <w:sz w:val="15"/>
          <w:szCs w:val="15"/>
          <w:shd w:val="clear" w:color="auto" w:fill="FFFFFF"/>
        </w:rPr>
        <w:t>作者</w:t>
      </w:r>
      <w:r w:rsidR="00EE3009">
        <w:rPr>
          <w:rFonts w:asciiTheme="minorEastAsia" w:eastAsiaTheme="minorEastAsia" w:hAnsiTheme="minorEastAsia" w:hint="eastAsia"/>
          <w:b/>
          <w:bCs/>
          <w:color w:val="333333"/>
          <w:spacing w:val="5"/>
          <w:sz w:val="15"/>
          <w:szCs w:val="15"/>
          <w:shd w:val="clear" w:color="auto" w:fill="FFFFFF"/>
        </w:rPr>
        <w:t>宋金链</w:t>
      </w:r>
      <w:r w:rsidR="00762437" w:rsidRPr="00762437">
        <w:rPr>
          <w:rFonts w:asciiTheme="minorEastAsia" w:eastAsiaTheme="minorEastAsia" w:hAnsiTheme="minorEastAsia" w:hint="eastAsia"/>
          <w:b/>
          <w:bCs/>
          <w:color w:val="333333"/>
          <w:spacing w:val="5"/>
          <w:sz w:val="15"/>
          <w:szCs w:val="15"/>
          <w:shd w:val="clear" w:color="auto" w:fill="FFFFFF"/>
        </w:rPr>
        <w:t>，</w:t>
      </w:r>
      <w:r w:rsidR="00EE3009">
        <w:rPr>
          <w:rFonts w:asciiTheme="minorEastAsia" w:eastAsiaTheme="minorEastAsia" w:hAnsiTheme="minorEastAsia" w:hint="eastAsia"/>
          <w:b/>
          <w:bCs/>
          <w:color w:val="333333"/>
          <w:spacing w:val="5"/>
          <w:sz w:val="15"/>
          <w:szCs w:val="15"/>
          <w:shd w:val="clear" w:color="auto" w:fill="FFFFFF"/>
        </w:rPr>
        <w:t>张键鑫</w:t>
      </w:r>
      <w:r w:rsidR="00762437" w:rsidRPr="00762437">
        <w:rPr>
          <w:rFonts w:asciiTheme="minorEastAsia" w:eastAsiaTheme="minorEastAsia" w:hAnsiTheme="minorEastAsia" w:hint="eastAsia"/>
          <w:b/>
          <w:bCs/>
          <w:color w:val="333333"/>
          <w:spacing w:val="5"/>
          <w:sz w:val="15"/>
          <w:szCs w:val="15"/>
          <w:shd w:val="clear" w:color="auto" w:fill="FFFFFF"/>
        </w:rPr>
        <w:t>，</w:t>
      </w:r>
      <w:r w:rsidR="00EE3009">
        <w:rPr>
          <w:rFonts w:asciiTheme="minorEastAsia" w:eastAsiaTheme="minorEastAsia" w:hAnsiTheme="minorEastAsia" w:hint="eastAsia"/>
          <w:b/>
          <w:bCs/>
          <w:color w:val="333333"/>
          <w:spacing w:val="5"/>
          <w:sz w:val="15"/>
          <w:szCs w:val="15"/>
          <w:shd w:val="clear" w:color="auto" w:fill="FFFFFF"/>
        </w:rPr>
        <w:t>刘岩，李润喜</w:t>
      </w:r>
      <w:r w:rsidR="00762437" w:rsidRPr="00762437">
        <w:rPr>
          <w:rFonts w:asciiTheme="minorEastAsia" w:eastAsiaTheme="minorEastAsia" w:hAnsiTheme="minorEastAsia" w:hint="eastAsia"/>
          <w:b/>
          <w:bCs/>
          <w:color w:val="333333"/>
          <w:spacing w:val="5"/>
          <w:sz w:val="15"/>
          <w:szCs w:val="15"/>
          <w:shd w:val="clear" w:color="auto" w:fill="FFFFFF"/>
        </w:rPr>
        <w:t>（</w:t>
      </w:r>
      <w:r w:rsidR="00EE3009">
        <w:rPr>
          <w:rFonts w:asciiTheme="minorEastAsia" w:eastAsiaTheme="minorEastAsia" w:hAnsiTheme="minorEastAsia" w:hint="eastAsia"/>
          <w:b/>
          <w:bCs/>
          <w:color w:val="333333"/>
          <w:spacing w:val="5"/>
          <w:sz w:val="15"/>
          <w:szCs w:val="15"/>
          <w:shd w:val="clear" w:color="auto" w:fill="FFFFFF"/>
        </w:rPr>
        <w:t>天津市康科德科技</w:t>
      </w:r>
      <w:r w:rsidR="00762437" w:rsidRPr="00762437">
        <w:rPr>
          <w:rFonts w:asciiTheme="minorEastAsia" w:eastAsiaTheme="minorEastAsia" w:hAnsiTheme="minorEastAsia" w:hint="eastAsia"/>
          <w:b/>
          <w:bCs/>
          <w:color w:val="333333"/>
          <w:spacing w:val="5"/>
          <w:sz w:val="15"/>
          <w:szCs w:val="15"/>
          <w:shd w:val="clear" w:color="auto" w:fill="FFFFFF"/>
        </w:rPr>
        <w:t>有限公司）</w:t>
      </w:r>
      <w:r w:rsidR="00762437">
        <w:rPr>
          <w:rFonts w:asciiTheme="minorEastAsia" w:eastAsiaTheme="minorEastAsia" w:hAnsiTheme="minorEastAsia" w:hint="eastAsia"/>
          <w:b/>
          <w:bCs/>
          <w:color w:val="333333"/>
          <w:spacing w:val="5"/>
          <w:sz w:val="15"/>
          <w:szCs w:val="15"/>
          <w:shd w:val="clear" w:color="auto" w:fill="FFFFFF"/>
        </w:rPr>
        <w:t>。</w:t>
      </w:r>
      <w:r w:rsidRPr="001E0987">
        <w:rPr>
          <w:rStyle w:val="a6"/>
          <w:rFonts w:asciiTheme="minorEastAsia" w:eastAsiaTheme="minorEastAsia" w:hAnsiTheme="minorEastAsia" w:hint="eastAsia"/>
          <w:color w:val="333333"/>
          <w:spacing w:val="5"/>
          <w:sz w:val="15"/>
          <w:szCs w:val="15"/>
          <w:shd w:val="clear" w:color="auto" w:fill="FFFFFF"/>
        </w:rPr>
        <w:t>全文已在中国知网进行了网络首发，</w:t>
      </w:r>
      <w:r>
        <w:rPr>
          <w:rStyle w:val="a6"/>
          <w:rFonts w:asciiTheme="minorEastAsia" w:eastAsiaTheme="minorEastAsia" w:hAnsiTheme="minorEastAsia" w:hint="eastAsia"/>
          <w:color w:val="333333"/>
          <w:spacing w:val="5"/>
          <w:sz w:val="15"/>
          <w:szCs w:val="15"/>
          <w:shd w:val="clear" w:color="auto" w:fill="FFFFFF"/>
        </w:rPr>
        <w:t>详细内容可</w:t>
      </w:r>
      <w:r w:rsidR="00DE6F11">
        <w:rPr>
          <w:rStyle w:val="a6"/>
          <w:rFonts w:asciiTheme="minorEastAsia" w:eastAsiaTheme="minorEastAsia" w:hAnsiTheme="minorEastAsia" w:hint="eastAsia"/>
          <w:color w:val="333333"/>
          <w:spacing w:val="5"/>
          <w:sz w:val="15"/>
          <w:szCs w:val="15"/>
          <w:shd w:val="clear" w:color="auto" w:fill="FFFFFF"/>
        </w:rPr>
        <w:t>通过</w:t>
      </w:r>
      <w:r>
        <w:rPr>
          <w:rStyle w:val="a6"/>
          <w:rFonts w:asciiTheme="minorEastAsia" w:eastAsiaTheme="minorEastAsia" w:hAnsiTheme="minorEastAsia" w:hint="eastAsia"/>
          <w:color w:val="333333"/>
          <w:spacing w:val="5"/>
          <w:sz w:val="15"/>
          <w:szCs w:val="15"/>
          <w:shd w:val="clear" w:color="auto" w:fill="FFFFFF"/>
        </w:rPr>
        <w:t>阅读全文</w:t>
      </w:r>
      <w:r w:rsidR="00DE6F11">
        <w:rPr>
          <w:rStyle w:val="a6"/>
          <w:rFonts w:asciiTheme="minorEastAsia" w:eastAsiaTheme="minorEastAsia" w:hAnsiTheme="minorEastAsia" w:hint="eastAsia"/>
          <w:color w:val="333333"/>
          <w:spacing w:val="5"/>
          <w:sz w:val="15"/>
          <w:szCs w:val="15"/>
          <w:shd w:val="clear" w:color="auto" w:fill="FFFFFF"/>
        </w:rPr>
        <w:t>进行</w:t>
      </w:r>
      <w:r>
        <w:rPr>
          <w:rStyle w:val="a6"/>
          <w:rFonts w:asciiTheme="minorEastAsia" w:eastAsiaTheme="minorEastAsia" w:hAnsiTheme="minorEastAsia" w:hint="eastAsia"/>
          <w:color w:val="333333"/>
          <w:spacing w:val="5"/>
          <w:sz w:val="15"/>
          <w:szCs w:val="15"/>
          <w:shd w:val="clear" w:color="auto" w:fill="FFFFFF"/>
        </w:rPr>
        <w:t>下载浏览</w:t>
      </w:r>
      <w:r w:rsidRPr="001E0987">
        <w:rPr>
          <w:rStyle w:val="a6"/>
          <w:rFonts w:asciiTheme="minorEastAsia" w:eastAsiaTheme="minorEastAsia" w:hAnsiTheme="minorEastAsia" w:hint="eastAsia"/>
          <w:color w:val="333333"/>
          <w:spacing w:val="5"/>
          <w:sz w:val="15"/>
          <w:szCs w:val="15"/>
          <w:shd w:val="clear" w:color="auto" w:fill="FFFFFF"/>
        </w:rPr>
        <w:t>！</w:t>
      </w:r>
    </w:p>
    <w:p w:rsidR="001E0987" w:rsidRPr="001E0987" w:rsidRDefault="0022274A">
      <w:pPr>
        <w:rPr>
          <w:rFonts w:ascii="宋体" w:eastAsia="宋体" w:hAnsi="宋体" w:cs="宋体"/>
          <w:b/>
          <w:kern w:val="0"/>
          <w:sz w:val="18"/>
          <w:szCs w:val="18"/>
        </w:rPr>
      </w:pPr>
      <w:r w:rsidRPr="0022274A">
        <w:rPr>
          <w:rFonts w:ascii="Times New Roman" w:hAnsi="Times New Roman" w:cs="Times New Roman"/>
          <w:sz w:val="18"/>
          <w:szCs w:val="18"/>
          <w:u w:val="single"/>
        </w:rPr>
        <w:t>https://kns.cnki.net/kcms/detail/detail.aspx?dbcode=CAPJ&amp;dbname=CAPJLAST&amp;filename=HXSJ20201204006&amp;v=Sr86Ge93GG9yz76bCh2dqoDkUwQTm1cy9NZ1NF22kNFfGN%25mmd2FXK50ymI1NW0A%25mmd2FC9Ee</w:t>
      </w:r>
      <w:r w:rsidR="00762437">
        <w:rPr>
          <w:rFonts w:ascii="宋体" w:eastAsia="宋体" w:hAnsi="宋体" w:cs="宋体" w:hint="eastAsia"/>
          <w:b/>
          <w:kern w:val="0"/>
          <w:sz w:val="18"/>
          <w:szCs w:val="18"/>
        </w:rPr>
        <w:t>（知网链接）</w:t>
      </w:r>
    </w:p>
    <w:sectPr w:rsidR="001E0987" w:rsidRPr="001E0987" w:rsidSect="00D64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2DC" w:rsidRDefault="00AF02DC" w:rsidP="00214B49">
      <w:r>
        <w:separator/>
      </w:r>
    </w:p>
  </w:endnote>
  <w:endnote w:type="continuationSeparator" w:id="1">
    <w:p w:rsidR="00AF02DC" w:rsidRDefault="00AF02DC" w:rsidP="00214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2DC" w:rsidRDefault="00AF02DC" w:rsidP="00214B49">
      <w:r>
        <w:separator/>
      </w:r>
    </w:p>
  </w:footnote>
  <w:footnote w:type="continuationSeparator" w:id="1">
    <w:p w:rsidR="00AF02DC" w:rsidRDefault="00AF02DC" w:rsidP="00214B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4B49"/>
    <w:rsid w:val="0000084B"/>
    <w:rsid w:val="00057B49"/>
    <w:rsid w:val="00072E80"/>
    <w:rsid w:val="00097303"/>
    <w:rsid w:val="00120358"/>
    <w:rsid w:val="001814B6"/>
    <w:rsid w:val="001B1854"/>
    <w:rsid w:val="001E0987"/>
    <w:rsid w:val="00214B49"/>
    <w:rsid w:val="0022274A"/>
    <w:rsid w:val="0029485D"/>
    <w:rsid w:val="002A2792"/>
    <w:rsid w:val="00332BAB"/>
    <w:rsid w:val="00556D73"/>
    <w:rsid w:val="00576393"/>
    <w:rsid w:val="00762437"/>
    <w:rsid w:val="00780C30"/>
    <w:rsid w:val="00794CD5"/>
    <w:rsid w:val="007E5EB5"/>
    <w:rsid w:val="00811DAE"/>
    <w:rsid w:val="00820745"/>
    <w:rsid w:val="00892E47"/>
    <w:rsid w:val="008D07E5"/>
    <w:rsid w:val="009D348A"/>
    <w:rsid w:val="00A1392C"/>
    <w:rsid w:val="00A26F43"/>
    <w:rsid w:val="00AE2173"/>
    <w:rsid w:val="00AF02DC"/>
    <w:rsid w:val="00B05918"/>
    <w:rsid w:val="00B27EDF"/>
    <w:rsid w:val="00BB57AF"/>
    <w:rsid w:val="00C80023"/>
    <w:rsid w:val="00CA212B"/>
    <w:rsid w:val="00D26A7F"/>
    <w:rsid w:val="00D6138E"/>
    <w:rsid w:val="00D63BBF"/>
    <w:rsid w:val="00D644D2"/>
    <w:rsid w:val="00DE6DBC"/>
    <w:rsid w:val="00DE6F11"/>
    <w:rsid w:val="00E80818"/>
    <w:rsid w:val="00EC6DC6"/>
    <w:rsid w:val="00EE3009"/>
    <w:rsid w:val="00F50B07"/>
    <w:rsid w:val="00FA361F"/>
    <w:rsid w:val="00FD6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D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62437"/>
    <w:pPr>
      <w:autoSpaceDE w:val="0"/>
      <w:autoSpaceDN w:val="0"/>
      <w:adjustRightInd w:val="0"/>
      <w:ind w:left="540" w:hanging="540"/>
      <w:jc w:val="left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4B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4B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4B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4B4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14B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14B49"/>
    <w:rPr>
      <w:b/>
      <w:bCs/>
    </w:rPr>
  </w:style>
  <w:style w:type="character" w:customStyle="1" w:styleId="apple-converted-space">
    <w:name w:val="apple-converted-space"/>
    <w:basedOn w:val="a0"/>
    <w:rsid w:val="00214B49"/>
  </w:style>
  <w:style w:type="table" w:styleId="a7">
    <w:name w:val="Table Grid"/>
    <w:basedOn w:val="a1"/>
    <w:uiPriority w:val="39"/>
    <w:rsid w:val="000008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62437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762437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2019.12.09wq</dc:creator>
  <cp:lastModifiedBy>HH</cp:lastModifiedBy>
  <cp:revision>9</cp:revision>
  <dcterms:created xsi:type="dcterms:W3CDTF">2021-01-04T05:55:00Z</dcterms:created>
  <dcterms:modified xsi:type="dcterms:W3CDTF">2021-01-07T00:52:00Z</dcterms:modified>
</cp:coreProperties>
</file>